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5654" w:rsidRDefault="005B5654" w:rsidP="005B5654">
      <w:pPr>
        <w:spacing w:line="300" w:lineRule="auto"/>
        <w:ind w:firstLineChars="200" w:firstLine="480"/>
        <w:rPr>
          <w:rFonts w:ascii="仿宋" w:eastAsia="仿宋" w:hAnsi="仿宋" w:cs="Times New Roman"/>
          <w:color w:val="333333"/>
          <w:kern w:val="0"/>
          <w:sz w:val="24"/>
          <w:szCs w:val="24"/>
        </w:rPr>
      </w:pPr>
      <w:r w:rsidRPr="005B5654">
        <w:rPr>
          <w:rFonts w:ascii="仿宋" w:eastAsia="仿宋" w:hAnsi="仿宋" w:cs="Times New Roman" w:hint="eastAsia"/>
          <w:color w:val="333333"/>
          <w:kern w:val="0"/>
          <w:sz w:val="24"/>
          <w:szCs w:val="24"/>
        </w:rPr>
        <w:t>附件：</w:t>
      </w:r>
    </w:p>
    <w:p w:rsidR="00F42F19" w:rsidRPr="005B5654" w:rsidRDefault="00F42F19" w:rsidP="005B5654">
      <w:pPr>
        <w:spacing w:line="300" w:lineRule="auto"/>
        <w:ind w:firstLineChars="200" w:firstLine="480"/>
        <w:rPr>
          <w:rFonts w:ascii="仿宋" w:eastAsia="仿宋" w:hAnsi="仿宋" w:cs="Times New Roman" w:hint="eastAsia"/>
          <w:color w:val="333333"/>
          <w:kern w:val="0"/>
          <w:sz w:val="24"/>
          <w:szCs w:val="24"/>
        </w:rPr>
      </w:pPr>
    </w:p>
    <w:p w:rsidR="000012AF" w:rsidRDefault="00000000" w:rsidP="005B5654">
      <w:pPr>
        <w:spacing w:line="300" w:lineRule="auto"/>
        <w:jc w:val="center"/>
        <w:rPr>
          <w:rFonts w:ascii="黑体" w:eastAsia="黑体" w:hAnsi="黑体"/>
          <w:b/>
          <w:bCs/>
          <w:sz w:val="32"/>
          <w:szCs w:val="32"/>
        </w:rPr>
      </w:pPr>
      <w:r>
        <w:rPr>
          <w:rFonts w:ascii="黑体" w:eastAsia="黑体" w:hAnsi="黑体" w:hint="eastAsia"/>
          <w:b/>
          <w:bCs/>
          <w:sz w:val="32"/>
          <w:szCs w:val="32"/>
        </w:rPr>
        <w:t>福建省地质医院（福建省华侨医院）</w:t>
      </w:r>
    </w:p>
    <w:p w:rsidR="000012AF" w:rsidRDefault="005B5654" w:rsidP="005B5654">
      <w:pPr>
        <w:spacing w:line="300" w:lineRule="auto"/>
        <w:ind w:firstLineChars="200" w:firstLine="643"/>
        <w:rPr>
          <w:rFonts w:ascii="黑体" w:eastAsia="黑体" w:hAnsi="黑体" w:cs="Times New Roman"/>
          <w:b/>
          <w:bCs/>
          <w:color w:val="333333"/>
          <w:kern w:val="0"/>
          <w:sz w:val="24"/>
          <w:szCs w:val="24"/>
        </w:rPr>
      </w:pPr>
      <w:r w:rsidRPr="005B5654">
        <w:rPr>
          <w:rFonts w:ascii="黑体" w:eastAsia="黑体" w:hAnsi="黑体" w:hint="eastAsia"/>
          <w:b/>
          <w:bCs/>
          <w:sz w:val="32"/>
          <w:szCs w:val="32"/>
        </w:rPr>
        <w:t>网络安全等级保护（三级）建设项目需求及评选办法</w:t>
      </w:r>
    </w:p>
    <w:p w:rsidR="005B5654" w:rsidRDefault="005B5654">
      <w:pPr>
        <w:spacing w:line="300" w:lineRule="auto"/>
        <w:ind w:firstLineChars="200" w:firstLine="562"/>
        <w:outlineLvl w:val="0"/>
        <w:rPr>
          <w:rFonts w:ascii="黑体" w:eastAsia="黑体" w:hAnsi="黑体" w:cs="Times New Roman"/>
          <w:b/>
          <w:bCs/>
          <w:color w:val="333333"/>
          <w:kern w:val="0"/>
          <w:sz w:val="28"/>
          <w:szCs w:val="28"/>
        </w:rPr>
      </w:pPr>
    </w:p>
    <w:p w:rsidR="000012AF" w:rsidRDefault="00000000">
      <w:pPr>
        <w:spacing w:line="300" w:lineRule="auto"/>
        <w:ind w:firstLineChars="200" w:firstLine="562"/>
        <w:outlineLvl w:val="0"/>
        <w:rPr>
          <w:rFonts w:ascii="黑体" w:eastAsia="黑体" w:hAnsi="黑体" w:cs="Times New Roman"/>
          <w:b/>
          <w:bCs/>
          <w:color w:val="333333"/>
          <w:kern w:val="0"/>
          <w:sz w:val="28"/>
          <w:szCs w:val="28"/>
        </w:rPr>
      </w:pPr>
      <w:r>
        <w:rPr>
          <w:rFonts w:ascii="黑体" w:eastAsia="黑体" w:hAnsi="黑体" w:cs="Times New Roman" w:hint="eastAsia"/>
          <w:b/>
          <w:bCs/>
          <w:color w:val="333333"/>
          <w:kern w:val="0"/>
          <w:sz w:val="28"/>
          <w:szCs w:val="28"/>
        </w:rPr>
        <w:t>一、项目概述</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1</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项目征集人：</w:t>
      </w:r>
      <w:bookmarkStart w:id="0" w:name="_Hlk119509227"/>
      <w:r>
        <w:rPr>
          <w:rFonts w:ascii="仿宋" w:eastAsia="仿宋" w:hAnsi="仿宋" w:cs="Times New Roman" w:hint="eastAsia"/>
          <w:color w:val="333333"/>
          <w:kern w:val="0"/>
          <w:sz w:val="24"/>
          <w:szCs w:val="24"/>
        </w:rPr>
        <w:t>福建省地质医院（福建省华侨医院）</w:t>
      </w:r>
      <w:bookmarkEnd w:id="0"/>
      <w:r>
        <w:rPr>
          <w:rFonts w:ascii="仿宋" w:eastAsia="仿宋" w:hAnsi="仿宋" w:cs="Times New Roman" w:hint="eastAsia"/>
          <w:color w:val="333333"/>
          <w:kern w:val="0"/>
          <w:sz w:val="24"/>
          <w:szCs w:val="24"/>
        </w:rPr>
        <w:t>。</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2</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项目建设地点：福州市仓山区城门黄山福峡路</w:t>
      </w:r>
      <w:r>
        <w:rPr>
          <w:rFonts w:ascii="仿宋" w:eastAsia="仿宋" w:hAnsi="仿宋" w:cs="Times New Roman"/>
          <w:color w:val="333333"/>
          <w:kern w:val="0"/>
          <w:sz w:val="24"/>
          <w:szCs w:val="24"/>
        </w:rPr>
        <w:t>16号</w:t>
      </w:r>
      <w:r>
        <w:rPr>
          <w:rFonts w:ascii="仿宋" w:eastAsia="仿宋" w:hAnsi="仿宋" w:cs="Times New Roman" w:hint="eastAsia"/>
          <w:color w:val="333333"/>
          <w:kern w:val="0"/>
          <w:sz w:val="24"/>
          <w:szCs w:val="24"/>
        </w:rPr>
        <w:t>福建省地质医院（福建省华侨医院）。</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3</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项目名称：网络安全等级保护（三级）建设项目方案。</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4.项目概述：医院目前主要运行的业务系统为</w:t>
      </w:r>
      <w:r>
        <w:rPr>
          <w:rFonts w:ascii="仿宋" w:eastAsia="仿宋" w:hAnsi="仿宋" w:cs="Times New Roman"/>
          <w:color w:val="333333"/>
          <w:kern w:val="0"/>
          <w:sz w:val="24"/>
          <w:szCs w:val="24"/>
        </w:rPr>
        <w:t>HIS、EMR、LIS、PACS系统。其HIS为双机</w:t>
      </w:r>
      <w:proofErr w:type="gramStart"/>
      <w:r>
        <w:rPr>
          <w:rFonts w:ascii="仿宋" w:eastAsia="仿宋" w:hAnsi="仿宋" w:cs="Times New Roman"/>
          <w:color w:val="333333"/>
          <w:kern w:val="0"/>
          <w:sz w:val="24"/>
          <w:szCs w:val="24"/>
        </w:rPr>
        <w:t>双柜高</w:t>
      </w:r>
      <w:proofErr w:type="gramEnd"/>
      <w:r>
        <w:rPr>
          <w:rFonts w:ascii="仿宋" w:eastAsia="仿宋" w:hAnsi="仿宋" w:cs="Times New Roman"/>
          <w:color w:val="333333"/>
          <w:kern w:val="0"/>
          <w:sz w:val="24"/>
          <w:szCs w:val="24"/>
        </w:rPr>
        <w:t>可用系统，其他业务系统运行在由三台服务器组成的华为Fusion虚拟化平台。所有业务系统共享使用两台华为存储构建的存储双活系统。全院网络经过前期的建设已升级为三层架构，由两台华为S5720交换机为核心，每个大楼部署汇聚交换机，楼层部署接入交换机。服务器和客户端已按功能划分在不同的网段下。医院外连</w:t>
      </w:r>
      <w:proofErr w:type="gramStart"/>
      <w:r>
        <w:rPr>
          <w:rFonts w:ascii="仿宋" w:eastAsia="仿宋" w:hAnsi="仿宋" w:cs="Times New Roman"/>
          <w:color w:val="333333"/>
          <w:kern w:val="0"/>
          <w:sz w:val="24"/>
          <w:szCs w:val="24"/>
        </w:rPr>
        <w:t>医</w:t>
      </w:r>
      <w:proofErr w:type="gramEnd"/>
      <w:r>
        <w:rPr>
          <w:rFonts w:ascii="仿宋" w:eastAsia="仿宋" w:hAnsi="仿宋" w:cs="Times New Roman"/>
          <w:color w:val="333333"/>
          <w:kern w:val="0"/>
          <w:sz w:val="24"/>
          <w:szCs w:val="24"/>
        </w:rPr>
        <w:t>保网、政务网，</w:t>
      </w:r>
      <w:r>
        <w:rPr>
          <w:rFonts w:ascii="仿宋" w:eastAsia="仿宋" w:hAnsi="仿宋" w:cs="Times New Roman" w:hint="eastAsia"/>
          <w:color w:val="333333"/>
          <w:kern w:val="0"/>
          <w:sz w:val="24"/>
          <w:szCs w:val="24"/>
        </w:rPr>
        <w:t>和互联网，</w:t>
      </w:r>
      <w:r>
        <w:rPr>
          <w:rFonts w:ascii="仿宋" w:eastAsia="仿宋" w:hAnsi="仿宋" w:cs="Times New Roman"/>
          <w:color w:val="333333"/>
          <w:kern w:val="0"/>
          <w:sz w:val="24"/>
          <w:szCs w:val="24"/>
        </w:rPr>
        <w:t>边界部署防火墙</w:t>
      </w:r>
      <w:r>
        <w:rPr>
          <w:rFonts w:ascii="仿宋" w:eastAsia="仿宋" w:hAnsi="仿宋" w:cs="Times New Roman" w:hint="eastAsia"/>
          <w:color w:val="333333"/>
          <w:kern w:val="0"/>
          <w:sz w:val="24"/>
          <w:szCs w:val="24"/>
        </w:rPr>
        <w:t>，网络</w:t>
      </w:r>
      <w:r>
        <w:rPr>
          <w:rFonts w:ascii="仿宋" w:eastAsia="仿宋" w:hAnsi="仿宋" w:cs="Times New Roman"/>
          <w:color w:val="333333"/>
          <w:kern w:val="0"/>
          <w:sz w:val="24"/>
          <w:szCs w:val="24"/>
        </w:rPr>
        <w:t>同时连接三个不同安全等级的网络，存</w:t>
      </w:r>
      <w:r>
        <w:rPr>
          <w:rFonts w:ascii="仿宋" w:eastAsia="仿宋" w:hAnsi="仿宋" w:cs="Times New Roman" w:hint="eastAsia"/>
          <w:color w:val="333333"/>
          <w:kern w:val="0"/>
          <w:sz w:val="24"/>
          <w:szCs w:val="24"/>
        </w:rPr>
        <w:t>在极大安全隐患。</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根据医院现状结合卫生部《关于印发卫生行业信息安全等级保护工作的指导意见的通知》（卫办发［</w:t>
      </w:r>
      <w:r>
        <w:rPr>
          <w:rFonts w:ascii="仿宋" w:eastAsia="仿宋" w:hAnsi="仿宋" w:cs="Times New Roman"/>
          <w:color w:val="333333"/>
          <w:kern w:val="0"/>
          <w:sz w:val="24"/>
          <w:szCs w:val="24"/>
        </w:rPr>
        <w:t>2011］85号）和《关于全面开展卫生行业信息安全等级保护工作的通知》（卫</w:t>
      </w:r>
      <w:proofErr w:type="gramStart"/>
      <w:r>
        <w:rPr>
          <w:rFonts w:ascii="仿宋" w:eastAsia="仿宋" w:hAnsi="仿宋" w:cs="Times New Roman"/>
          <w:color w:val="333333"/>
          <w:kern w:val="0"/>
          <w:sz w:val="24"/>
          <w:szCs w:val="24"/>
        </w:rPr>
        <w:t>办综函</w:t>
      </w:r>
      <w:proofErr w:type="gramEnd"/>
      <w:r>
        <w:rPr>
          <w:rFonts w:ascii="仿宋" w:eastAsia="仿宋" w:hAnsi="仿宋" w:cs="Times New Roman"/>
          <w:color w:val="333333"/>
          <w:kern w:val="0"/>
          <w:sz w:val="24"/>
          <w:szCs w:val="24"/>
        </w:rPr>
        <w:t>［2011］1126号）、《福建省卫生健康委员会、福建省公安厅关于进一步推进全省卫生健康行业网络安全等级保护工作的通知》（</w:t>
      </w:r>
      <w:proofErr w:type="gramStart"/>
      <w:r>
        <w:rPr>
          <w:rFonts w:ascii="仿宋" w:eastAsia="仿宋" w:hAnsi="仿宋" w:cs="Times New Roman"/>
          <w:color w:val="333333"/>
          <w:kern w:val="0"/>
          <w:sz w:val="24"/>
          <w:szCs w:val="24"/>
        </w:rPr>
        <w:t>闽卫规划</w:t>
      </w:r>
      <w:proofErr w:type="gramEnd"/>
      <w:r>
        <w:rPr>
          <w:rFonts w:ascii="仿宋" w:eastAsia="仿宋" w:hAnsi="仿宋" w:cs="Times New Roman"/>
          <w:color w:val="333333"/>
          <w:kern w:val="0"/>
          <w:sz w:val="24"/>
          <w:szCs w:val="24"/>
        </w:rPr>
        <w:t>发明电(2020)295号）、《福建省卫生健康委员会关于进一步做好卫生健康系统网络信息安全保障工作的通知》（</w:t>
      </w:r>
      <w:proofErr w:type="gramStart"/>
      <w:r>
        <w:rPr>
          <w:rFonts w:ascii="仿宋" w:eastAsia="仿宋" w:hAnsi="仿宋" w:cs="Times New Roman"/>
          <w:color w:val="333333"/>
          <w:kern w:val="0"/>
          <w:sz w:val="24"/>
          <w:szCs w:val="24"/>
        </w:rPr>
        <w:t>闽卫规划</w:t>
      </w:r>
      <w:proofErr w:type="gramEnd"/>
      <w:r>
        <w:rPr>
          <w:rFonts w:ascii="仿宋" w:eastAsia="仿宋" w:hAnsi="仿宋" w:cs="Times New Roman"/>
          <w:color w:val="333333"/>
          <w:kern w:val="0"/>
          <w:sz w:val="24"/>
          <w:szCs w:val="24"/>
        </w:rPr>
        <w:t>发明电〔2022〕164号）等规范要求,医院</w:t>
      </w:r>
      <w:r>
        <w:rPr>
          <w:rFonts w:ascii="仿宋" w:eastAsia="仿宋" w:hAnsi="仿宋" w:cs="Times New Roman" w:hint="eastAsia"/>
          <w:color w:val="333333"/>
          <w:kern w:val="0"/>
          <w:sz w:val="24"/>
          <w:szCs w:val="24"/>
        </w:rPr>
        <w:t>网络安全等级保护建设项目应按照等级保护三级建设。</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网络拓扑如下</w:t>
      </w:r>
    </w:p>
    <w:p w:rsidR="000012AF" w:rsidRDefault="00000000">
      <w:pPr>
        <w:spacing w:line="300" w:lineRule="auto"/>
        <w:ind w:firstLineChars="200" w:firstLine="560"/>
        <w:rPr>
          <w:rFonts w:ascii="仿宋" w:eastAsia="仿宋" w:hAnsi="仿宋" w:cs="Times New Roman"/>
          <w:color w:val="333333"/>
          <w:kern w:val="0"/>
          <w:sz w:val="24"/>
          <w:szCs w:val="24"/>
        </w:rPr>
      </w:pPr>
      <w:r>
        <w:rPr>
          <w:rFonts w:ascii="仿宋" w:eastAsia="仿宋" w:hAnsi="仿宋" w:hint="eastAsia"/>
          <w:noProof/>
          <w:color w:val="000000" w:themeColor="text1"/>
          <w:sz w:val="28"/>
          <w:szCs w:val="28"/>
        </w:rPr>
        <w:lastRenderedPageBreak/>
        <w:drawing>
          <wp:inline distT="0" distB="0" distL="0" distR="0">
            <wp:extent cx="4686300" cy="30981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726443" cy="3124715"/>
                    </a:xfrm>
                    <a:prstGeom prst="rect">
                      <a:avLst/>
                    </a:prstGeom>
                    <a:noFill/>
                    <a:ln>
                      <a:noFill/>
                    </a:ln>
                  </pic:spPr>
                </pic:pic>
              </a:graphicData>
            </a:graphic>
          </wp:inline>
        </w:drawing>
      </w:r>
    </w:p>
    <w:p w:rsidR="000012AF" w:rsidRDefault="00000000">
      <w:pPr>
        <w:spacing w:line="300" w:lineRule="auto"/>
        <w:ind w:firstLineChars="200" w:firstLine="562"/>
        <w:outlineLvl w:val="0"/>
        <w:rPr>
          <w:rFonts w:ascii="黑体" w:eastAsia="黑体" w:hAnsi="黑体" w:cs="Times New Roman"/>
          <w:b/>
          <w:bCs/>
          <w:color w:val="333333"/>
          <w:kern w:val="0"/>
          <w:sz w:val="28"/>
          <w:szCs w:val="28"/>
        </w:rPr>
      </w:pPr>
      <w:r>
        <w:rPr>
          <w:rFonts w:ascii="黑体" w:eastAsia="黑体" w:hAnsi="黑体" w:cs="Times New Roman" w:hint="eastAsia"/>
          <w:b/>
          <w:bCs/>
          <w:color w:val="333333"/>
          <w:kern w:val="0"/>
          <w:sz w:val="28"/>
          <w:szCs w:val="28"/>
        </w:rPr>
        <w:t>二、项目需求</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1.技术指标</w:t>
      </w:r>
      <w:r>
        <w:rPr>
          <w:rFonts w:ascii="仿宋" w:eastAsia="仿宋" w:hAnsi="仿宋" w:cs="Times New Roman" w:hint="eastAsia"/>
          <w:color w:val="333333"/>
          <w:kern w:val="0"/>
          <w:sz w:val="24"/>
          <w:szCs w:val="24"/>
        </w:rPr>
        <w:t>全部需</w:t>
      </w:r>
      <w:r>
        <w:rPr>
          <w:rFonts w:ascii="仿宋" w:eastAsia="仿宋" w:hAnsi="仿宋" w:cs="Times New Roman"/>
          <w:color w:val="333333"/>
          <w:kern w:val="0"/>
          <w:sz w:val="24"/>
          <w:szCs w:val="24"/>
        </w:rPr>
        <w:t>符合《网络安全等级保护基本要求》GB/T22239-2019、《网络安全等级保护测评要求》GB/T28448-2019、《信息系统安全等级保护测评过程指南》GB/T28449-2018等最新</w:t>
      </w:r>
      <w:proofErr w:type="gramStart"/>
      <w:r>
        <w:rPr>
          <w:rFonts w:ascii="仿宋" w:eastAsia="仿宋" w:hAnsi="仿宋" w:cs="Times New Roman"/>
          <w:color w:val="333333"/>
          <w:kern w:val="0"/>
          <w:sz w:val="24"/>
          <w:szCs w:val="24"/>
        </w:rPr>
        <w:t>国家等保</w:t>
      </w:r>
      <w:proofErr w:type="gramEnd"/>
      <w:r>
        <w:rPr>
          <w:rFonts w:ascii="仿宋" w:eastAsia="仿宋" w:hAnsi="仿宋" w:cs="Times New Roman"/>
          <w:color w:val="333333"/>
          <w:kern w:val="0"/>
          <w:sz w:val="24"/>
          <w:szCs w:val="24"/>
        </w:rPr>
        <w:t>2.0相关法律法规要求，防护等级要求为</w:t>
      </w:r>
      <w:r>
        <w:rPr>
          <w:rFonts w:ascii="仿宋" w:eastAsia="仿宋" w:hAnsi="仿宋" w:cs="Times New Roman" w:hint="eastAsia"/>
          <w:color w:val="333333"/>
          <w:kern w:val="0"/>
          <w:sz w:val="24"/>
          <w:szCs w:val="24"/>
        </w:rPr>
        <w:t>三</w:t>
      </w:r>
      <w:r>
        <w:rPr>
          <w:rFonts w:ascii="仿宋" w:eastAsia="仿宋" w:hAnsi="仿宋" w:cs="Times New Roman"/>
          <w:color w:val="333333"/>
          <w:kern w:val="0"/>
          <w:sz w:val="24"/>
          <w:szCs w:val="24"/>
        </w:rPr>
        <w:t>级；</w:t>
      </w:r>
      <w:proofErr w:type="gramStart"/>
      <w:r>
        <w:rPr>
          <w:rFonts w:ascii="仿宋" w:eastAsia="仿宋" w:hAnsi="仿宋" w:cs="Times New Roman"/>
          <w:color w:val="333333"/>
          <w:kern w:val="0"/>
          <w:sz w:val="24"/>
          <w:szCs w:val="24"/>
        </w:rPr>
        <w:t>等保测评</w:t>
      </w:r>
      <w:proofErr w:type="gramEnd"/>
      <w:r>
        <w:rPr>
          <w:rFonts w:ascii="仿宋" w:eastAsia="仿宋" w:hAnsi="仿宋" w:cs="Times New Roman"/>
          <w:color w:val="333333"/>
          <w:kern w:val="0"/>
          <w:sz w:val="24"/>
          <w:szCs w:val="24"/>
        </w:rPr>
        <w:t>报告测评结论至少要达到</w:t>
      </w:r>
      <w:r>
        <w:rPr>
          <w:rFonts w:ascii="仿宋" w:eastAsia="仿宋" w:hAnsi="仿宋" w:cs="Times New Roman" w:hint="eastAsia"/>
          <w:color w:val="333333"/>
          <w:kern w:val="0"/>
          <w:sz w:val="24"/>
          <w:szCs w:val="24"/>
        </w:rPr>
        <w:t>“</w:t>
      </w:r>
      <w:r>
        <w:rPr>
          <w:rFonts w:ascii="仿宋" w:eastAsia="仿宋" w:hAnsi="仿宋" w:cs="Times New Roman"/>
          <w:color w:val="333333"/>
          <w:kern w:val="0"/>
          <w:sz w:val="24"/>
          <w:szCs w:val="24"/>
        </w:rPr>
        <w:t>良</w:t>
      </w:r>
      <w:r>
        <w:rPr>
          <w:rFonts w:ascii="仿宋" w:eastAsia="仿宋" w:hAnsi="仿宋" w:cs="Times New Roman" w:hint="eastAsia"/>
          <w:color w:val="333333"/>
          <w:kern w:val="0"/>
          <w:sz w:val="24"/>
          <w:szCs w:val="24"/>
        </w:rPr>
        <w:t>”</w:t>
      </w:r>
      <w:r>
        <w:rPr>
          <w:rFonts w:ascii="仿宋" w:eastAsia="仿宋" w:hAnsi="仿宋" w:cs="Times New Roman"/>
          <w:color w:val="333333"/>
          <w:kern w:val="0"/>
          <w:sz w:val="24"/>
          <w:szCs w:val="24"/>
        </w:rPr>
        <w:t>以上</w:t>
      </w:r>
      <w:r>
        <w:rPr>
          <w:rFonts w:ascii="仿宋" w:eastAsia="仿宋" w:hAnsi="仿宋" w:cs="Times New Roman" w:hint="eastAsia"/>
          <w:color w:val="333333"/>
          <w:kern w:val="0"/>
          <w:sz w:val="24"/>
          <w:szCs w:val="24"/>
        </w:rPr>
        <w:t>。</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2</w:t>
      </w:r>
      <w:r>
        <w:rPr>
          <w:rFonts w:ascii="仿宋" w:eastAsia="仿宋" w:hAnsi="仿宋" w:cs="Times New Roman" w:hint="eastAsia"/>
          <w:color w:val="333333"/>
          <w:kern w:val="0"/>
          <w:sz w:val="24"/>
          <w:szCs w:val="24"/>
        </w:rPr>
        <w:t>.应征单位所提供的方案必须能过三级等级保护，应征方案内容应包含网络安全设备采购和等级保护咨询、运维、评测服务等相关全部费用，安全</w:t>
      </w:r>
      <w:proofErr w:type="gramStart"/>
      <w:r>
        <w:rPr>
          <w:rFonts w:ascii="仿宋" w:eastAsia="仿宋" w:hAnsi="仿宋" w:cs="Times New Roman" w:hint="eastAsia"/>
          <w:color w:val="333333"/>
          <w:kern w:val="0"/>
          <w:sz w:val="24"/>
          <w:szCs w:val="24"/>
        </w:rPr>
        <w:t>设备维保五</w:t>
      </w:r>
      <w:r>
        <w:rPr>
          <w:rFonts w:ascii="仿宋" w:eastAsia="仿宋" w:hAnsi="仿宋" w:cs="Times New Roman"/>
          <w:color w:val="333333"/>
          <w:kern w:val="0"/>
          <w:sz w:val="24"/>
          <w:szCs w:val="24"/>
        </w:rPr>
        <w:t>年</w:t>
      </w:r>
      <w:proofErr w:type="gramEnd"/>
      <w:r>
        <w:rPr>
          <w:rFonts w:ascii="仿宋" w:eastAsia="仿宋" w:hAnsi="仿宋" w:cs="Times New Roman"/>
          <w:color w:val="333333"/>
          <w:kern w:val="0"/>
          <w:sz w:val="24"/>
          <w:szCs w:val="24"/>
        </w:rPr>
        <w:t>，必须获得等级保护测评证书。</w:t>
      </w:r>
      <w:r>
        <w:rPr>
          <w:rFonts w:ascii="仿宋" w:eastAsia="仿宋" w:hAnsi="仿宋" w:cs="Times New Roman" w:hint="eastAsia"/>
          <w:color w:val="333333"/>
          <w:kern w:val="0"/>
          <w:sz w:val="24"/>
          <w:szCs w:val="24"/>
        </w:rPr>
        <w:t>提供采购设备培训服务。提供采购设备安装调试所需要的所有网络线缆和光纤线缆。进行安全设备接入时的网络割接与网络优化等工作。</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3</w:t>
      </w:r>
      <w:r>
        <w:rPr>
          <w:rFonts w:ascii="仿宋" w:eastAsia="仿宋" w:hAnsi="仿宋" w:cs="Times New Roman" w:hint="eastAsia"/>
          <w:color w:val="333333"/>
          <w:kern w:val="0"/>
          <w:sz w:val="24"/>
          <w:szCs w:val="24"/>
        </w:rPr>
        <w:t>.应提供完整的项目改造方案，包括但不限于所需设备、软件（若有）、技术参数（技术指标应为同类产品的共性指标）、数量、预算单价和总价等。</w:t>
      </w:r>
    </w:p>
    <w:p w:rsidR="000012AF" w:rsidRDefault="00000000">
      <w:pPr>
        <w:spacing w:line="300" w:lineRule="auto"/>
        <w:ind w:firstLineChars="200" w:firstLine="562"/>
        <w:outlineLvl w:val="0"/>
        <w:rPr>
          <w:rFonts w:ascii="黑体" w:eastAsia="黑体" w:hAnsi="黑体" w:cs="Times New Roman"/>
          <w:b/>
          <w:bCs/>
          <w:color w:val="333333"/>
          <w:kern w:val="0"/>
          <w:sz w:val="28"/>
          <w:szCs w:val="28"/>
        </w:rPr>
      </w:pPr>
      <w:r>
        <w:rPr>
          <w:rFonts w:ascii="黑体" w:eastAsia="黑体" w:hAnsi="黑体" w:cs="Times New Roman" w:hint="eastAsia"/>
          <w:b/>
          <w:bCs/>
          <w:color w:val="333333"/>
          <w:kern w:val="0"/>
          <w:sz w:val="28"/>
          <w:szCs w:val="28"/>
        </w:rPr>
        <w:t>三、评选办法及时间</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1</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满足条件且按时送达的为有效应征方案。向征集单位提交的全部方案设计成果所具有的知识产权归征集单位所有并使用，应征者不得提供不属于自己的项目成果。</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2</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福建省地质医院（福建省华侨医院）将</w:t>
      </w:r>
      <w:r>
        <w:rPr>
          <w:rFonts w:ascii="仿宋" w:eastAsia="仿宋" w:hAnsi="仿宋" w:cs="Times New Roman"/>
          <w:color w:val="333333"/>
          <w:kern w:val="0"/>
          <w:sz w:val="24"/>
          <w:szCs w:val="24"/>
        </w:rPr>
        <w:t>组织专家对有效应征方案进行评审，评选出一个入选方案。</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3、评选时间：2</w:t>
      </w:r>
      <w:r>
        <w:rPr>
          <w:rFonts w:ascii="仿宋" w:eastAsia="仿宋" w:hAnsi="仿宋" w:cs="Times New Roman"/>
          <w:color w:val="333333"/>
          <w:kern w:val="0"/>
          <w:sz w:val="24"/>
          <w:szCs w:val="24"/>
        </w:rPr>
        <w:t>022</w:t>
      </w:r>
      <w:r>
        <w:rPr>
          <w:rFonts w:ascii="仿宋" w:eastAsia="仿宋" w:hAnsi="仿宋" w:cs="Times New Roman" w:hint="eastAsia"/>
          <w:color w:val="333333"/>
          <w:kern w:val="0"/>
          <w:sz w:val="24"/>
          <w:szCs w:val="24"/>
        </w:rPr>
        <w:t>年1</w:t>
      </w:r>
      <w:r>
        <w:rPr>
          <w:rFonts w:ascii="仿宋" w:eastAsia="仿宋" w:hAnsi="仿宋" w:cs="Times New Roman"/>
          <w:color w:val="333333"/>
          <w:kern w:val="0"/>
          <w:sz w:val="24"/>
          <w:szCs w:val="24"/>
        </w:rPr>
        <w:t>1</w:t>
      </w:r>
      <w:r>
        <w:rPr>
          <w:rFonts w:ascii="仿宋" w:eastAsia="仿宋" w:hAnsi="仿宋" w:cs="Times New Roman" w:hint="eastAsia"/>
          <w:color w:val="333333"/>
          <w:kern w:val="0"/>
          <w:sz w:val="24"/>
          <w:szCs w:val="24"/>
        </w:rPr>
        <w:t>月</w:t>
      </w:r>
      <w:r w:rsidR="005B5654">
        <w:rPr>
          <w:rFonts w:ascii="仿宋" w:eastAsia="仿宋" w:hAnsi="仿宋" w:cs="Times New Roman" w:hint="eastAsia"/>
          <w:color w:val="333333"/>
          <w:kern w:val="0"/>
          <w:sz w:val="24"/>
          <w:szCs w:val="24"/>
        </w:rPr>
        <w:t>2</w:t>
      </w:r>
      <w:r w:rsidR="005B5654">
        <w:rPr>
          <w:rFonts w:ascii="仿宋" w:eastAsia="仿宋" w:hAnsi="仿宋" w:cs="Times New Roman"/>
          <w:color w:val="333333"/>
          <w:kern w:val="0"/>
          <w:sz w:val="24"/>
          <w:szCs w:val="24"/>
        </w:rPr>
        <w:t>3</w:t>
      </w:r>
      <w:r>
        <w:rPr>
          <w:rFonts w:ascii="仿宋" w:eastAsia="仿宋" w:hAnsi="仿宋" w:cs="Times New Roman" w:hint="eastAsia"/>
          <w:color w:val="333333"/>
          <w:kern w:val="0"/>
          <w:sz w:val="24"/>
          <w:szCs w:val="24"/>
        </w:rPr>
        <w:t>日下午。</w:t>
      </w:r>
    </w:p>
    <w:p w:rsidR="000012AF" w:rsidRDefault="00000000">
      <w:pPr>
        <w:spacing w:line="300" w:lineRule="auto"/>
        <w:ind w:firstLineChars="200" w:firstLine="562"/>
        <w:outlineLvl w:val="0"/>
        <w:rPr>
          <w:rFonts w:ascii="黑体" w:eastAsia="黑体" w:hAnsi="黑体" w:cs="Times New Roman"/>
          <w:b/>
          <w:bCs/>
          <w:color w:val="333333"/>
          <w:kern w:val="0"/>
          <w:sz w:val="28"/>
          <w:szCs w:val="28"/>
        </w:rPr>
      </w:pPr>
      <w:r>
        <w:rPr>
          <w:rFonts w:ascii="黑体" w:eastAsia="黑体" w:hAnsi="黑体" w:cs="Times New Roman" w:hint="eastAsia"/>
          <w:b/>
          <w:bCs/>
          <w:color w:val="333333"/>
          <w:kern w:val="0"/>
          <w:sz w:val="28"/>
          <w:szCs w:val="28"/>
        </w:rPr>
        <w:t>四、其他说明</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1.征集人通过征集方案以便于深入了解方案设计的科学性、合理性，为确定</w:t>
      </w:r>
      <w:r>
        <w:rPr>
          <w:rFonts w:ascii="仿宋" w:eastAsia="仿宋" w:hAnsi="仿宋" w:cs="Times New Roman"/>
          <w:color w:val="333333"/>
          <w:kern w:val="0"/>
          <w:sz w:val="24"/>
          <w:szCs w:val="24"/>
        </w:rPr>
        <w:lastRenderedPageBreak/>
        <w:t>后续项目采购活动提供参考，参与或未参与的均不影响参与本项目后期的招标采购活动;</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2.参与者因参与方案设计征集活动产生的费用自行承担。方案设计、理念、功能设计计划，如被采用，无论采用多少，采购人及后期采购活动的中标人等均不支付任何费用;</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3.本次方案征集过程中所形成的所有资料，以及项目实施过程中形成的项目成果，包括项目咨询实施方案、需求说明、需求分析、系统设计等，均归征集人所有，编制单位或个人未经征集人许可不得对外传播，并承担保密义务。</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4</w:t>
      </w:r>
      <w:r>
        <w:rPr>
          <w:rFonts w:ascii="仿宋" w:eastAsia="仿宋" w:hAnsi="仿宋" w:cs="Times New Roman"/>
          <w:color w:val="333333"/>
          <w:kern w:val="0"/>
          <w:sz w:val="24"/>
          <w:szCs w:val="24"/>
        </w:rPr>
        <w:t>.</w:t>
      </w:r>
      <w:r>
        <w:rPr>
          <w:rFonts w:ascii="仿宋" w:eastAsia="仿宋" w:hAnsi="仿宋" w:cs="Times New Roman" w:hint="eastAsia"/>
          <w:color w:val="333333"/>
          <w:kern w:val="0"/>
          <w:sz w:val="24"/>
          <w:szCs w:val="24"/>
        </w:rPr>
        <w:t>应征单位要保证提交的设计方案不会侵犯任何其他人的知识产权。若发生由此造成的任何纠纷，一切法律责任由应征单位承担。</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hint="eastAsia"/>
          <w:color w:val="333333"/>
          <w:kern w:val="0"/>
          <w:sz w:val="24"/>
          <w:szCs w:val="24"/>
        </w:rPr>
        <w:t>5</w:t>
      </w:r>
      <w:r>
        <w:rPr>
          <w:rFonts w:ascii="仿宋" w:eastAsia="仿宋" w:hAnsi="仿宋" w:cs="Times New Roman"/>
          <w:color w:val="333333"/>
          <w:kern w:val="0"/>
          <w:sz w:val="24"/>
          <w:szCs w:val="24"/>
        </w:rPr>
        <w:t>.参加本次设计方案征集即被视为同意并接受本声明，无须书面或其他方式确认。</w:t>
      </w:r>
    </w:p>
    <w:p w:rsidR="000012AF" w:rsidRDefault="00000000">
      <w:pPr>
        <w:spacing w:line="300" w:lineRule="auto"/>
        <w:ind w:firstLineChars="200" w:firstLine="480"/>
        <w:rPr>
          <w:rFonts w:ascii="仿宋" w:eastAsia="仿宋" w:hAnsi="仿宋" w:cs="Times New Roman"/>
          <w:color w:val="333333"/>
          <w:kern w:val="0"/>
          <w:sz w:val="24"/>
          <w:szCs w:val="24"/>
        </w:rPr>
      </w:pPr>
      <w:r>
        <w:rPr>
          <w:rFonts w:ascii="仿宋" w:eastAsia="仿宋" w:hAnsi="仿宋" w:cs="Times New Roman"/>
          <w:color w:val="333333"/>
          <w:kern w:val="0"/>
          <w:sz w:val="24"/>
          <w:szCs w:val="24"/>
        </w:rPr>
        <w:t>6.所有参加单位提交的文件在评审后不退回。</w:t>
      </w:r>
    </w:p>
    <w:p w:rsidR="000012AF" w:rsidRDefault="00000000">
      <w:pPr>
        <w:spacing w:line="300" w:lineRule="auto"/>
        <w:ind w:firstLineChars="200" w:firstLine="480"/>
      </w:pPr>
      <w:r>
        <w:rPr>
          <w:rFonts w:ascii="仿宋" w:eastAsia="仿宋" w:hAnsi="仿宋" w:cs="Times New Roman" w:hint="eastAsia"/>
          <w:color w:val="333333"/>
          <w:kern w:val="0"/>
          <w:sz w:val="24"/>
          <w:szCs w:val="24"/>
        </w:rPr>
        <w:t>7</w:t>
      </w:r>
      <w:r>
        <w:rPr>
          <w:rFonts w:ascii="仿宋" w:eastAsia="仿宋" w:hAnsi="仿宋" w:cs="Times New Roman"/>
          <w:color w:val="333333"/>
          <w:kern w:val="0"/>
          <w:sz w:val="24"/>
          <w:szCs w:val="24"/>
        </w:rPr>
        <w:t>.本次方案征集活动最终解释权</w:t>
      </w:r>
      <w:r>
        <w:rPr>
          <w:rFonts w:ascii="仿宋" w:eastAsia="仿宋" w:hAnsi="仿宋" w:cs="Times New Roman" w:hint="eastAsia"/>
          <w:color w:val="333333"/>
          <w:kern w:val="0"/>
          <w:sz w:val="24"/>
          <w:szCs w:val="24"/>
        </w:rPr>
        <w:t>归福建省地质医院（福建省华侨医院）所有。</w:t>
      </w:r>
    </w:p>
    <w:sectPr w:rsidR="000012A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5363" w:rsidRDefault="000C5363" w:rsidP="005B5654">
      <w:r>
        <w:separator/>
      </w:r>
    </w:p>
  </w:endnote>
  <w:endnote w:type="continuationSeparator" w:id="0">
    <w:p w:rsidR="000C5363" w:rsidRDefault="000C5363" w:rsidP="005B5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5363" w:rsidRDefault="000C5363" w:rsidP="005B5654">
      <w:r>
        <w:separator/>
      </w:r>
    </w:p>
  </w:footnote>
  <w:footnote w:type="continuationSeparator" w:id="0">
    <w:p w:rsidR="000C5363" w:rsidRDefault="000C5363" w:rsidP="005B56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E4Nzg1ZTQ4Y2I4YzEwZGZhMDc2Y2VhOGE5NDkxZWUifQ=="/>
  </w:docVars>
  <w:rsids>
    <w:rsidRoot w:val="702C05C9"/>
    <w:rsid w:val="000012AF"/>
    <w:rsid w:val="000C5363"/>
    <w:rsid w:val="001304CF"/>
    <w:rsid w:val="004D633D"/>
    <w:rsid w:val="005B5654"/>
    <w:rsid w:val="00AE7180"/>
    <w:rsid w:val="00F42F19"/>
    <w:rsid w:val="0687419F"/>
    <w:rsid w:val="702C0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28F9B4"/>
  <w15:docId w15:val="{628CE1F4-C611-4420-8F57-AA1979216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B56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5B5654"/>
    <w:rPr>
      <w:kern w:val="2"/>
      <w:sz w:val="18"/>
      <w:szCs w:val="18"/>
    </w:rPr>
  </w:style>
  <w:style w:type="paragraph" w:styleId="a5">
    <w:name w:val="footer"/>
    <w:basedOn w:val="a"/>
    <w:link w:val="a6"/>
    <w:rsid w:val="005B5654"/>
    <w:pPr>
      <w:tabs>
        <w:tab w:val="center" w:pos="4153"/>
        <w:tab w:val="right" w:pos="8306"/>
      </w:tabs>
      <w:snapToGrid w:val="0"/>
      <w:jc w:val="left"/>
    </w:pPr>
    <w:rPr>
      <w:sz w:val="18"/>
      <w:szCs w:val="18"/>
    </w:rPr>
  </w:style>
  <w:style w:type="character" w:customStyle="1" w:styleId="a6">
    <w:name w:val="页脚 字符"/>
    <w:basedOn w:val="a0"/>
    <w:link w:val="a5"/>
    <w:rsid w:val="005B565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咕噜咕噜</dc:creator>
  <cp:lastModifiedBy>Administrator</cp:lastModifiedBy>
  <cp:revision>6</cp:revision>
  <dcterms:created xsi:type="dcterms:W3CDTF">2022-11-16T16:58:00Z</dcterms:created>
  <dcterms:modified xsi:type="dcterms:W3CDTF">2022-11-17T06:18:00Z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A544469883C543C693759FB0E3FC945F</vt:lpwstr>
  </property>
</Properties>
</file>